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829" w:rsidRDefault="00592829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592829" w:rsidRDefault="00592829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:rsidR="00592829" w:rsidRDefault="008C32F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 xml:space="preserve">АМГТГ-ЫН 2023 ОНЫ САНХҮҮГИЙН ҮЙЛ АЖИЛЛАГААНД ХИЙСЭН </w:t>
      </w:r>
    </w:p>
    <w:p w:rsidR="00592829" w:rsidRDefault="008C32F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>АУДИТЫН АКТ, АЛБАН ШААРДЛАГА, ЗӨВЛӨМЖИЙН БИЕЛЭЛТ</w:t>
      </w:r>
    </w:p>
    <w:p w:rsidR="00592829" w:rsidRDefault="008C32FE">
      <w:pPr>
        <w:spacing w:after="0" w:line="240" w:lineRule="auto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</w:t>
      </w:r>
    </w:p>
    <w:tbl>
      <w:tblPr>
        <w:tblStyle w:val="TableGrid"/>
        <w:tblW w:w="1298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7"/>
        <w:gridCol w:w="4857"/>
        <w:gridCol w:w="5986"/>
        <w:gridCol w:w="1468"/>
      </w:tblGrid>
      <w:tr w:rsidR="00592829">
        <w:trPr>
          <w:trHeight w:val="884"/>
        </w:trPr>
        <w:tc>
          <w:tcPr>
            <w:tcW w:w="677" w:type="dxa"/>
            <w:vAlign w:val="center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№</w:t>
            </w:r>
          </w:p>
        </w:tc>
        <w:tc>
          <w:tcPr>
            <w:tcW w:w="4857" w:type="dxa"/>
            <w:vAlign w:val="center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Гүйцэтгэх ажил</w:t>
            </w:r>
          </w:p>
        </w:tc>
        <w:tc>
          <w:tcPr>
            <w:tcW w:w="5986" w:type="dxa"/>
            <w:vAlign w:val="center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Биелэлт</w:t>
            </w:r>
          </w:p>
        </w:tc>
        <w:tc>
          <w:tcPr>
            <w:tcW w:w="1468" w:type="dxa"/>
            <w:vAlign w:val="center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Биелэлтийн хувь </w:t>
            </w:r>
          </w:p>
        </w:tc>
      </w:tr>
      <w:tr w:rsidR="00592829">
        <w:trPr>
          <w:trHeight w:val="1107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Улсын төсвийн хөрөнгөөр хайгуулын ажилд гарсан зардлын нөхөн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төлбөрийн 2023 оны төлж барагдуулаагүй 8 аж ахуйн нэгжид мэдэгдэл хүргүүлэх.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Улсын төсвийн хөрөнгөөр хийсэн хайгуулын ажилд гарсан зардлын нөхөн төлбөрийн гэрээний үүргээ биелүүлээгүй 8 тусгай зөвшөөрөл эзэмшигчдэд 2024 оны 04 дүгээр сарын 20-ний өдөр төлб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өр төлөх тухай мэдэгдлийг албан бичгээр тус тус хүргүүлсэн.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ab/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ab/>
            </w:r>
          </w:p>
          <w:p w:rsidR="00592829" w:rsidRDefault="008C3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</w:tr>
      <w:tr w:rsidR="00592829">
        <w:trPr>
          <w:trHeight w:val="1161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Улсын төсвийн хөрөнгөөр хайгуулын ажилд гарсан зардлын нөхөн төлбөрийн 2023 оны төлөлтийн </w:t>
            </w:r>
            <w:r>
              <w:rPr>
                <w:rFonts w:ascii="Arial" w:eastAsia="Times New Roman" w:hAnsi="Arial" w:cs="Arial"/>
                <w:color w:val="000000"/>
              </w:rPr>
              <w:t>195,353,969.18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төгрөгийг төвлөрүүлэх.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Улсын төсвийн хөрөнгөөр хайгуулын ажилд зарцуулсан зардлыг нөхөн төлөхөөр гэрээ байгуулсан нэр бүхий  8 аж ахуйн нэгж, байгууллагын дутуу төлсөн </w:t>
            </w:r>
            <w:r>
              <w:rPr>
                <w:rFonts w:ascii="Arial" w:eastAsia="Times New Roman" w:hAnsi="Arial" w:cs="Arial"/>
                <w:color w:val="000000"/>
              </w:rPr>
              <w:t>195,3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сая төгрөгөөс 6 байгууллагын 82,0 сая төгрөгийг ҮАГ-ын Төрийн сан банкин дахь дансанд төвлөрүүлэв. Үлдэгд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эл төлбөрийг төлж, барагдуулахаар ажиллаж байна.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42</w:t>
            </w:r>
          </w:p>
        </w:tc>
      </w:tr>
      <w:tr w:rsidR="00592829">
        <w:trPr>
          <w:trHeight w:val="620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Сургалтын урамшуулал, төлөөлөгчийн газрын үйл ажиллагааг дэмжих хөрөнгийн 2023 оны төлбөрийг төлж барагдуулаагүй 3 аж ахуйн нэгжид мэдэгдэл хүргүүлэх.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Бүтээгдэхүүн хуваах гэрээний дагуу Сургалтын </w:t>
            </w:r>
            <w:r>
              <w:rPr>
                <w:rFonts w:ascii="Arial" w:hAnsi="Arial" w:cs="Arial"/>
                <w:lang w:val="mn-MN"/>
              </w:rPr>
              <w:t>урамшуулал, төлөөлөгчийн үйл ажиллагааг дэмжих хөрөнгийн төлбөр төлөөгүй 3 байгууллагад 2024 оны 4 дүгээр сарын 18-ны өдөр 3/1774 дугаартай албан бичгээр мэдэгдэл хүрүүлсэн.</w:t>
            </w:r>
          </w:p>
          <w:p w:rsidR="00592829" w:rsidRDefault="00592829">
            <w:pPr>
              <w:spacing w:after="120" w:line="240" w:lineRule="auto"/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592829">
        <w:trPr>
          <w:trHeight w:val="495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Сургалтын урамшуулал, төлөөлөгчийн газрын үйл ажиллгааг дэмжих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хөрөнгийн 2023 оны төлөлтийн 1,510,423,200.00 төгрөгийг төвлөрүүлэх.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120" w:line="240" w:lineRule="auto"/>
              <w:jc w:val="both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Петрочайна Дачин Тамсаг ХХК-иас  Сургалтын урамшуулал болох 507,000,000 төгрөг, Зонхэн Юу Тиан ХХК-иас 236,320,000 төгрөг , мөн төлөөлөгчийн үйл ажиллагааг дэмжих хөрөнгөд Зонхэн Юу Тиан </w:t>
            </w:r>
            <w:r>
              <w:rPr>
                <w:rFonts w:ascii="Arial" w:hAnsi="Arial" w:cs="Arial"/>
                <w:lang w:val="mn-MN"/>
              </w:rPr>
              <w:t>ХХК 101,295,000 төгрөг  нийт 844,6 сая төгрөг төлөгдсөн байна .Төлөгдөөгүй байгаа төлбөрийг төлүүлэх тал дэр анхааран ажиллаж байна.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56</w:t>
            </w:r>
          </w:p>
        </w:tc>
      </w:tr>
      <w:tr w:rsidR="00592829">
        <w:trPr>
          <w:trHeight w:val="1324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2004-2017 онд хүлээн авсан 7 ширхэг автомашины 2-ыг нь үйл ажиллагаандаа ашиглаж байгаа боловч бүртгэл тайланд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тусгаагүй, эвдэрсэн, засвартай  5 ширхэг автомашиныг цаашид хэрхэх талаар тодорхой арга хэмжээ авах.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2004-2017 онд хүлээн авсан 7 ширхэг автомашины 2-ыг нь үйл ажиллагаандаа ашиглаж байгаа бөгөөд  аж ахуйн нэгжийн нэр дээр ашиглаж байгаа цаашид гэрээний ху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гацаанд байгууллагын нэр дээр шилжүүлж бүртгэл тайланд тусгахаар ажиллаж байна. Эвдэрсэн, засварын зардалд өндөртэй  5 ширхэг автомашиныг цаашид ашиглах боломжгүй байгаа тул аж ахуйн нэгжүүдэд буцаан хүлээлгэн өгөхөөр ажиллаж байна. 1 автомашин нь Зүүн бая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н талбай 97-р талбайн төсөлд  ашиглагдаж байгаа Ийстерн Петролиум ХХК эрлийн гэрээний дагуу акт үйлдэж нэр дээрээ шилжүүлэх, материалыг бүрдүүлж байна.</w:t>
            </w:r>
          </w:p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Бусад эрлийн гэрээний 4 машины компаниуд нь татан буугдсан тул эзэмшигч байгууллагыг тодруулахаар Улсын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бүртгэлийн газарт албан хүсэлт илгээсэн болно.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F3457">
              <w:rPr>
                <w:rFonts w:ascii="Arial" w:hAnsi="Arial" w:cs="Arial"/>
                <w:cs/>
                <w:lang w:val="mn-MN"/>
              </w:rPr>
              <w:t>8</w:t>
            </w:r>
            <w:r w:rsidRPr="00DF3457">
              <w:rPr>
                <w:rFonts w:ascii="Arial" w:hAnsi="Arial" w:cs="Arial"/>
                <w:lang w:val="mn-MN"/>
              </w:rPr>
              <w:t>0</w:t>
            </w:r>
          </w:p>
        </w:tc>
        <w:bookmarkStart w:id="0" w:name="_GoBack"/>
        <w:bookmarkEnd w:id="0"/>
      </w:tr>
      <w:tr w:rsidR="00592829">
        <w:trPr>
          <w:trHeight w:val="144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7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МУЗГ-ын 2013 оны 291 дүгээр тогтоолоор баталсан "Монгол Улсын Засгийн газраас гэрээлэгч компаниудтай байгуулсан "Бүтээгдэхүүн хуваах гэрээ"-ний дагуу компаниудаас олгодог сургалтын урамшууллын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хөрөнгөөр суралцах иргэдийг сонгон шалгаруулах, хөрөнгийг зарцуулах журам"-ын зарим заалтын хэрэгжилт хангалтгүй байна.</w:t>
            </w:r>
          </w:p>
        </w:tc>
        <w:tc>
          <w:tcPr>
            <w:tcW w:w="5986" w:type="dxa"/>
          </w:tcPr>
          <w:p w:rsidR="00592829" w:rsidRDefault="008C32FE">
            <w:pPr>
              <w:spacing w:after="120" w:line="240" w:lineRule="auto"/>
              <w:jc w:val="both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Уул уурхай, хүнд үйлдвэрийн яамны Төрийн нарийн бичгийн даргын 2024 оны А/20 дугаар тушаалаар батлагдсан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ажлын хэсэг “Сургалтын урамшуу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ллын хөрөнгөөр суралцах иргэдийг сонгон шалгаруулах, хөрөнгийг зарцуулах журам"-ын хэрэгжилтийг шалган дүгнэлт гаргасан бөгөөд үүний дагуу 2024 оны А/50 тушаалаар мөн оны сургалтын төлөвлөгөөг батлан ирүүлж. сургалтын журамд өөрчлөлт оруулахаар холбогдох г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азарт уламжилсан болно.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10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592829">
        <w:trPr>
          <w:trHeight w:val="2013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9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Эмэгтэйчүүдийн эрхийг хамгаалах өдөр, салбарын ойд зориулж зардал гаргахгүй байх төрийн хэмнэлтийн тухай хуулийг хэрэгжүүлж ажиллах, цаашид алдаа, зөрчлийг давтан гаргахгүй  талаар биелэлтийг гаргаж ХШҮДАХ болон Үндэсний а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удитын газарт  хүргүүлэх.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Төрийн хэмнэлтийн тухай хуулийн дагуу Үндэсний аудитын газраас өгсөн зөвлөмжийг хэрэгжүүлэн төсвийг хэмнэлттэй зарцуулах талаар анхаарч ажиллаж байна.</w:t>
            </w:r>
          </w:p>
        </w:tc>
        <w:tc>
          <w:tcPr>
            <w:tcW w:w="1468" w:type="dxa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592829">
        <w:trPr>
          <w:trHeight w:val="144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10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Албан хаагчдын урьдчилан сэргийлэх үзлэгт хамруулахдаа байгууллагын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худалдан авалтын төлөвлөгөөнд тусган дээд шатны захирагчаар батлуулан шаардлагатай бол худалдан авах ажиллагаанд гүйцэтгэгчийг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сонгон шалгаруулах тендер зохион байгуулах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Албан хаагчдын урьдчилан сэргийлэх үзлэгт хамруулах ажлыг 2024 оны худалдан авах ажилл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агааны төлөвлөгөөнд тусгаж Уул уурхай, хүнд үйлдвэрийн сайдын 2024 оны 04 дүгээр сарын 12-ны өдрийн А/78 дугаар тушаалаар батлуулсан. Төлөвлөгөөний дагуу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 xml:space="preserve">тендер шалгаруулалтыг </w:t>
            </w: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 xml:space="preserve">3 удаа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зохион байгуула</w:t>
            </w: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н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ажилла</w:t>
            </w: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а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.</w:t>
            </w:r>
          </w:p>
        </w:tc>
        <w:tc>
          <w:tcPr>
            <w:tcW w:w="1468" w:type="dxa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lastRenderedPageBreak/>
              <w:t>10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592829">
        <w:trPr>
          <w:trHeight w:val="144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11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Лабораторийн шинжилгээний химийн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бодис худалдан авах ажиллагаанд гүйцэтгэгчийг сонгон шалгаруулах тендер зохион байгуулж ажиллах.</w:t>
            </w:r>
          </w:p>
        </w:tc>
        <w:tc>
          <w:tcPr>
            <w:tcW w:w="5986" w:type="dxa"/>
          </w:tcPr>
          <w:p w:rsidR="00592829" w:rsidRDefault="008C32FE">
            <w:pPr>
              <w:spacing w:after="120" w:line="240" w:lineRule="auto"/>
              <w:jc w:val="both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Лабораторийн шинжилгээний химийн бодис худалдан авахаар 2024 оны худалдан авах ажиллагааны төлөвлөгөөнд тусгаж Уул уурхай, хүнд үйлдвэрийн сайдын 2024 оны 04 д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үгээр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сарын 12-ны өдрийн А/78 дугаар тушаалаар батлуулсан. Худалдан авах ажиллагааг зохион байгуулах үнэлгээний хороог АМГТГ-ын даргын 2024 оны 05 дугаар сарын 10-ны өдрийн А/59 дүгээр тушаалаар байгуулсан.</w:t>
            </w:r>
          </w:p>
        </w:tc>
        <w:tc>
          <w:tcPr>
            <w:tcW w:w="1468" w:type="dxa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10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592829">
        <w:trPr>
          <w:trHeight w:val="1007"/>
        </w:trPr>
        <w:tc>
          <w:tcPr>
            <w:tcW w:w="677" w:type="dxa"/>
          </w:tcPr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12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Хэвлэл мэдээллийн үйлчилгээ авсан 15 х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уулийн этгээдтэй шууд гэрээ байгуулан худалдан авалт хийсэн холбогдох хууль, журмын дагуу худалдан авалтыг хийх.</w:t>
            </w:r>
          </w:p>
        </w:tc>
        <w:tc>
          <w:tcPr>
            <w:tcW w:w="5986" w:type="dxa"/>
          </w:tcPr>
          <w:p w:rsidR="00592829" w:rsidRDefault="008C32FE">
            <w:pPr>
              <w:spacing w:after="120" w:line="240" w:lineRule="auto"/>
              <w:jc w:val="both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Х</w:t>
            </w: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эвлэл</w:t>
            </w: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 xml:space="preserve"> мэдээллийн  чиглэлийн хуулийн этгээдээс 2024 онд үйлчилгээ аваагүй болно.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cs/>
                <w:lang w:val="mn-MN"/>
              </w:rPr>
              <w:t>10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592829">
        <w:trPr>
          <w:trHeight w:val="871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13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Төрийн байгууллагын хэрэглээнд нэвтрээгүй,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дээд шатны төсөв захирагчийн зөвшөөрөлгүйгээр” "Удирдлагын электрон систем"-ийг Ухаалаг засаглал ТББ-аас өндөр дүнтэй шууд гэрээ байгуулан худалдан авч үр ашиггүй зардал гаргасан бөгөөд цаашид тус программ хангамжийн хэрэглээг нэвтрүүлэх эрх бүхий байгуулл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агаас зөвшөөрч, бүрэн ашиглаж эхэлтэл лиценз, үйлчилгээний төлбөрийг төлөхгүй байх.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"Удирдлагын электрон систем"-ийг ашиглан тус байгууллагын төрийн жинхэнэ болон үйлчилгээний албан хаагчид сар, улирал, хагас жилийн гүйцэтгэлийн төлөвлөгөө тайланг гарган т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айлагнаж, үнэлгээ хийлгэж  байгаа бөгөөд 2024 он</w:t>
            </w:r>
            <w:r>
              <w:rPr>
                <w:rFonts w:ascii="Arial" w:eastAsia="Times New Roman" w:hAnsi="Arial" w:cs="Arial"/>
                <w:color w:val="000000"/>
                <w:cs/>
                <w:lang w:val="mn-MN"/>
              </w:rPr>
              <w:t>д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ямар нэг төлбөр төлөөгүй б</w:t>
            </w:r>
            <w:r>
              <w:rPr>
                <w:rFonts w:ascii="Arial" w:eastAsia="Times New Roman" w:hAnsi="Arial" w:cs="Arial"/>
                <w:color w:val="000000"/>
                <w:cs/>
                <w:lang w:val="mn-MN"/>
              </w:rPr>
              <w:t>олно</w:t>
            </w:r>
            <w:r>
              <w:rPr>
                <w:rFonts w:ascii="Arial" w:eastAsia="Times New Roman" w:hAnsi="Arial" w:cs="Arial"/>
                <w:color w:val="000000"/>
                <w:cs/>
                <w:lang w:val="mn-MN"/>
              </w:rPr>
              <w:t>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592829">
        <w:trPr>
          <w:trHeight w:val="144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14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Улсын төсвийн орлогын анхан шатны бүртгэл хөтлөлт,орлого ногдуулалт, төлөлт, тооцооны үлдэгдлийг баталгаажуулах үйл ажиллагаанд удирдлагаас тавих хяналтыг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сайжруулж, хариуцсан мэргэжилтнүүдийн бүртгэл нягтлан бодох бүртгэлийн үйл ажиллагаатай уялдуулах, санхүүгийн тайлан гаргахын өмнө тооцоо нийлж, үлдэгдлийг баталгаажуулах, улсын төсвийн орлогыг бүрэн аккруэл суурьт шилжүүлэх бодлогын хэрэгжилтийг ханган аж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иллах.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Улсын төсвийн болон үндсэн үйл ажиллагааны орлогын бүрдүүлэлт, гэрээний хэрэгжилтэд тавих дотоод хяналтыг илүү сайжруулан Сангийн сайдын 2023 оны №65 тоот тушаалаар батлагдсан “Аккруэл суурьт Улсын секторын нягтлан бодох бүртгэлийн олон улсын станда</w:t>
            </w:r>
            <w:r>
              <w:rPr>
                <w:rFonts w:ascii="Arial" w:hAnsi="Arial" w:cs="Arial"/>
                <w:lang w:val="mn-MN"/>
              </w:rPr>
              <w:t xml:space="preserve">ртыг нэвтрүүлэх дунд хугацааны хөтөлбөр”-ийн дагуу үе шаттайгаар 2024-2026 онд аккруэл сууриар орлого хүлээн зөвшөөрөх үйл ажиллагаанд шилжихээр холбогдох хууль тогтоомж, дүрэм журам дээр ажиллаж байна. </w:t>
            </w:r>
          </w:p>
          <w:p w:rsidR="00592829" w:rsidRDefault="00592829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50</w:t>
            </w:r>
          </w:p>
        </w:tc>
      </w:tr>
      <w:tr w:rsidR="00592829">
        <w:trPr>
          <w:trHeight w:val="2523"/>
        </w:trPr>
        <w:tc>
          <w:tcPr>
            <w:tcW w:w="677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15</w:t>
            </w:r>
          </w:p>
        </w:tc>
        <w:tc>
          <w:tcPr>
            <w:tcW w:w="4857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Үндсэн хөрөнгийн бүртгэлээр үлдэх 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өртөггүй боловч үйл ажиллагаанд хэвийн ашиглаж буй дахин үнэлүүлэхээр хүлээгдэж байгаа 275 ширхэг 3,282,605.3 мянган төгрөгийн үндсэн хөрөнгийг ТӨБЗГ-ын 2019 оны 271 дүгээр тогтоолын дагуу хэрэгжүүлж ажиллах,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биелэлтийг гаргаж ХШҮДАХ болон Үндэсний аудитын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газарт  хүргүүлэх.</w:t>
            </w:r>
          </w:p>
        </w:tc>
        <w:tc>
          <w:tcPr>
            <w:tcW w:w="5986" w:type="dxa"/>
          </w:tcPr>
          <w:p w:rsidR="00592829" w:rsidRDefault="008C32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Үндсэн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хөрөнгийн бүртгэлээр үлдэх өртөггүй боловч үйл ажиллагаандаа хэвийн ашиглаж буй дахин үнэлүүлэхээр хүлээгдэж байгаа хөрөнгийг ТӨБЗГ-ын 2019 оны 271 дүгээр тогтоолоор баталсан "Төрийн болон орон нутгийн өмчид эд хөрөнгө олж авах,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бүртгэх, данснаас хасах, шилжүүлэх журам"-ын 7 дугаар зүйлийн 7.1 дэх заалтын дагуу дахин үнэлэх хөрөнгийн жагсаалтыг бэлтгэн ажиллаж байна.</w:t>
            </w:r>
          </w:p>
        </w:tc>
        <w:tc>
          <w:tcPr>
            <w:tcW w:w="1468" w:type="dxa"/>
          </w:tcPr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59282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592829" w:rsidRDefault="008C32FE">
            <w:pPr>
              <w:tabs>
                <w:tab w:val="left" w:pos="330"/>
                <w:tab w:val="center" w:pos="477"/>
              </w:tabs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ab/>
              <w:t>50</w:t>
            </w:r>
          </w:p>
        </w:tc>
      </w:tr>
    </w:tbl>
    <w:p w:rsidR="00592829" w:rsidRDefault="00592829">
      <w:pPr>
        <w:jc w:val="center"/>
        <w:rPr>
          <w:rFonts w:ascii="Arial" w:hAnsi="Arial" w:cs="Arial"/>
          <w:lang w:val="mn-MN"/>
        </w:rPr>
      </w:pPr>
    </w:p>
    <w:p w:rsidR="00592829" w:rsidRDefault="008C32FE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-oOo-</w:t>
      </w:r>
    </w:p>
    <w:sectPr w:rsidR="00592829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2FE" w:rsidRDefault="008C32FE">
      <w:pPr>
        <w:spacing w:line="240" w:lineRule="auto"/>
      </w:pPr>
      <w:r>
        <w:separator/>
      </w:r>
    </w:p>
  </w:endnote>
  <w:endnote w:type="continuationSeparator" w:id="0">
    <w:p w:rsidR="008C32FE" w:rsidRDefault="008C3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2FE" w:rsidRDefault="008C32FE">
      <w:pPr>
        <w:spacing w:after="0"/>
      </w:pPr>
      <w:r>
        <w:separator/>
      </w:r>
    </w:p>
  </w:footnote>
  <w:footnote w:type="continuationSeparator" w:id="0">
    <w:p w:rsidR="008C32FE" w:rsidRDefault="008C32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B7"/>
    <w:rsid w:val="00000D27"/>
    <w:rsid w:val="00005A44"/>
    <w:rsid w:val="00006558"/>
    <w:rsid w:val="00020836"/>
    <w:rsid w:val="0002170C"/>
    <w:rsid w:val="00027C60"/>
    <w:rsid w:val="0003375C"/>
    <w:rsid w:val="00035932"/>
    <w:rsid w:val="00040711"/>
    <w:rsid w:val="0005490C"/>
    <w:rsid w:val="00054F07"/>
    <w:rsid w:val="00061E2A"/>
    <w:rsid w:val="00072D35"/>
    <w:rsid w:val="00084F36"/>
    <w:rsid w:val="00091A39"/>
    <w:rsid w:val="00093FAD"/>
    <w:rsid w:val="000B0D8D"/>
    <w:rsid w:val="000B292D"/>
    <w:rsid w:val="000E28A7"/>
    <w:rsid w:val="000E3F97"/>
    <w:rsid w:val="00112ED2"/>
    <w:rsid w:val="00124E61"/>
    <w:rsid w:val="00160135"/>
    <w:rsid w:val="001642CE"/>
    <w:rsid w:val="001A1D41"/>
    <w:rsid w:val="001A1DF6"/>
    <w:rsid w:val="002034FF"/>
    <w:rsid w:val="00224CC6"/>
    <w:rsid w:val="002333DB"/>
    <w:rsid w:val="00240249"/>
    <w:rsid w:val="00240C8A"/>
    <w:rsid w:val="00262ECF"/>
    <w:rsid w:val="00264F6E"/>
    <w:rsid w:val="00265395"/>
    <w:rsid w:val="00267669"/>
    <w:rsid w:val="002723F9"/>
    <w:rsid w:val="00274F56"/>
    <w:rsid w:val="00283EC6"/>
    <w:rsid w:val="00284CC3"/>
    <w:rsid w:val="00284F88"/>
    <w:rsid w:val="002944BE"/>
    <w:rsid w:val="00296C7E"/>
    <w:rsid w:val="00297E9F"/>
    <w:rsid w:val="002A0D61"/>
    <w:rsid w:val="002C3CD6"/>
    <w:rsid w:val="002C6553"/>
    <w:rsid w:val="002D1938"/>
    <w:rsid w:val="002E1ACD"/>
    <w:rsid w:val="002F1D07"/>
    <w:rsid w:val="0030130E"/>
    <w:rsid w:val="00303E73"/>
    <w:rsid w:val="00332DF2"/>
    <w:rsid w:val="00336139"/>
    <w:rsid w:val="00336D1B"/>
    <w:rsid w:val="00347B55"/>
    <w:rsid w:val="003574B7"/>
    <w:rsid w:val="00361F6F"/>
    <w:rsid w:val="00370B40"/>
    <w:rsid w:val="00375EB5"/>
    <w:rsid w:val="0038429A"/>
    <w:rsid w:val="00387AF7"/>
    <w:rsid w:val="00387E5D"/>
    <w:rsid w:val="00396679"/>
    <w:rsid w:val="003B025E"/>
    <w:rsid w:val="003C2EE5"/>
    <w:rsid w:val="003F0D29"/>
    <w:rsid w:val="00412E79"/>
    <w:rsid w:val="00413EB0"/>
    <w:rsid w:val="004238F4"/>
    <w:rsid w:val="00435063"/>
    <w:rsid w:val="00456B00"/>
    <w:rsid w:val="0046023B"/>
    <w:rsid w:val="00475D5F"/>
    <w:rsid w:val="00481A64"/>
    <w:rsid w:val="004877A1"/>
    <w:rsid w:val="00493E47"/>
    <w:rsid w:val="00495926"/>
    <w:rsid w:val="00497A6A"/>
    <w:rsid w:val="004B335E"/>
    <w:rsid w:val="004C72DD"/>
    <w:rsid w:val="004D5387"/>
    <w:rsid w:val="004E34F8"/>
    <w:rsid w:val="004E5EA2"/>
    <w:rsid w:val="00501A5E"/>
    <w:rsid w:val="00503ECD"/>
    <w:rsid w:val="005215F1"/>
    <w:rsid w:val="00521A1E"/>
    <w:rsid w:val="00561FF0"/>
    <w:rsid w:val="0056512F"/>
    <w:rsid w:val="005740A3"/>
    <w:rsid w:val="00585F02"/>
    <w:rsid w:val="00592829"/>
    <w:rsid w:val="005A0A03"/>
    <w:rsid w:val="005B3CF1"/>
    <w:rsid w:val="005B65D4"/>
    <w:rsid w:val="005C7067"/>
    <w:rsid w:val="005D7A39"/>
    <w:rsid w:val="00617DEE"/>
    <w:rsid w:val="00617E44"/>
    <w:rsid w:val="00626806"/>
    <w:rsid w:val="00646C20"/>
    <w:rsid w:val="006A5E02"/>
    <w:rsid w:val="006C0033"/>
    <w:rsid w:val="006C312B"/>
    <w:rsid w:val="006D7024"/>
    <w:rsid w:val="006E381F"/>
    <w:rsid w:val="006E3A72"/>
    <w:rsid w:val="006E3B65"/>
    <w:rsid w:val="006F38A6"/>
    <w:rsid w:val="00704C1C"/>
    <w:rsid w:val="00714266"/>
    <w:rsid w:val="00715327"/>
    <w:rsid w:val="00734047"/>
    <w:rsid w:val="00740FB4"/>
    <w:rsid w:val="007669EA"/>
    <w:rsid w:val="00773A6E"/>
    <w:rsid w:val="0077583A"/>
    <w:rsid w:val="00777AB6"/>
    <w:rsid w:val="007802F9"/>
    <w:rsid w:val="00781E44"/>
    <w:rsid w:val="00793EF3"/>
    <w:rsid w:val="007A1834"/>
    <w:rsid w:val="007A1FC0"/>
    <w:rsid w:val="007C1A99"/>
    <w:rsid w:val="007D3AFE"/>
    <w:rsid w:val="007E4CD4"/>
    <w:rsid w:val="00801361"/>
    <w:rsid w:val="00810382"/>
    <w:rsid w:val="0082024C"/>
    <w:rsid w:val="00820459"/>
    <w:rsid w:val="00822E60"/>
    <w:rsid w:val="008273B7"/>
    <w:rsid w:val="00827B1B"/>
    <w:rsid w:val="0083446F"/>
    <w:rsid w:val="00835B25"/>
    <w:rsid w:val="00843578"/>
    <w:rsid w:val="00847CF8"/>
    <w:rsid w:val="008C32FE"/>
    <w:rsid w:val="008D2556"/>
    <w:rsid w:val="008E4D0D"/>
    <w:rsid w:val="008E4EF3"/>
    <w:rsid w:val="008E73C9"/>
    <w:rsid w:val="008E7717"/>
    <w:rsid w:val="008F00B7"/>
    <w:rsid w:val="008F10CF"/>
    <w:rsid w:val="00905075"/>
    <w:rsid w:val="00923566"/>
    <w:rsid w:val="009428F3"/>
    <w:rsid w:val="009639D1"/>
    <w:rsid w:val="00970FC5"/>
    <w:rsid w:val="009E3CAF"/>
    <w:rsid w:val="009F6F5F"/>
    <w:rsid w:val="00A1164A"/>
    <w:rsid w:val="00A11F71"/>
    <w:rsid w:val="00A14985"/>
    <w:rsid w:val="00A22FED"/>
    <w:rsid w:val="00A618FC"/>
    <w:rsid w:val="00A81451"/>
    <w:rsid w:val="00A9215D"/>
    <w:rsid w:val="00AB4EC3"/>
    <w:rsid w:val="00AB7902"/>
    <w:rsid w:val="00AC1251"/>
    <w:rsid w:val="00AD716E"/>
    <w:rsid w:val="00AF1EC1"/>
    <w:rsid w:val="00AF3791"/>
    <w:rsid w:val="00AF38A8"/>
    <w:rsid w:val="00AF79AD"/>
    <w:rsid w:val="00B02CAA"/>
    <w:rsid w:val="00B120EA"/>
    <w:rsid w:val="00B13231"/>
    <w:rsid w:val="00B1446C"/>
    <w:rsid w:val="00B163CB"/>
    <w:rsid w:val="00B17474"/>
    <w:rsid w:val="00B33288"/>
    <w:rsid w:val="00B52E35"/>
    <w:rsid w:val="00B74F3E"/>
    <w:rsid w:val="00B87B4A"/>
    <w:rsid w:val="00B87F31"/>
    <w:rsid w:val="00BB4A2E"/>
    <w:rsid w:val="00BC67D8"/>
    <w:rsid w:val="00BC6C45"/>
    <w:rsid w:val="00BD211A"/>
    <w:rsid w:val="00BD5873"/>
    <w:rsid w:val="00BE150F"/>
    <w:rsid w:val="00BE7660"/>
    <w:rsid w:val="00BF12BF"/>
    <w:rsid w:val="00BF1AC0"/>
    <w:rsid w:val="00BF358D"/>
    <w:rsid w:val="00BF4D19"/>
    <w:rsid w:val="00BF5487"/>
    <w:rsid w:val="00C02905"/>
    <w:rsid w:val="00C02972"/>
    <w:rsid w:val="00C062EA"/>
    <w:rsid w:val="00C30FD2"/>
    <w:rsid w:val="00C348AE"/>
    <w:rsid w:val="00C56733"/>
    <w:rsid w:val="00C637C0"/>
    <w:rsid w:val="00C64E44"/>
    <w:rsid w:val="00C65E86"/>
    <w:rsid w:val="00C765C2"/>
    <w:rsid w:val="00CA48D1"/>
    <w:rsid w:val="00CC2327"/>
    <w:rsid w:val="00CC5C89"/>
    <w:rsid w:val="00CC6E12"/>
    <w:rsid w:val="00CD4119"/>
    <w:rsid w:val="00CD77FE"/>
    <w:rsid w:val="00CE40B9"/>
    <w:rsid w:val="00D024F3"/>
    <w:rsid w:val="00D02738"/>
    <w:rsid w:val="00D02ECD"/>
    <w:rsid w:val="00D0721E"/>
    <w:rsid w:val="00D1451C"/>
    <w:rsid w:val="00D2448A"/>
    <w:rsid w:val="00D60079"/>
    <w:rsid w:val="00D66643"/>
    <w:rsid w:val="00D71669"/>
    <w:rsid w:val="00D71E56"/>
    <w:rsid w:val="00D7342C"/>
    <w:rsid w:val="00D76274"/>
    <w:rsid w:val="00DB7877"/>
    <w:rsid w:val="00DB7951"/>
    <w:rsid w:val="00DC10FB"/>
    <w:rsid w:val="00DE10E2"/>
    <w:rsid w:val="00DE4010"/>
    <w:rsid w:val="00DF3457"/>
    <w:rsid w:val="00DF779B"/>
    <w:rsid w:val="00E02ADC"/>
    <w:rsid w:val="00E142D2"/>
    <w:rsid w:val="00E1693F"/>
    <w:rsid w:val="00E21D03"/>
    <w:rsid w:val="00E33DDD"/>
    <w:rsid w:val="00E714AC"/>
    <w:rsid w:val="00E72DEF"/>
    <w:rsid w:val="00EA475C"/>
    <w:rsid w:val="00EA5635"/>
    <w:rsid w:val="00EC38C3"/>
    <w:rsid w:val="00EE128F"/>
    <w:rsid w:val="00EE3C38"/>
    <w:rsid w:val="00EF0C7D"/>
    <w:rsid w:val="00F03BB7"/>
    <w:rsid w:val="00F11E5E"/>
    <w:rsid w:val="00F24A20"/>
    <w:rsid w:val="00F31F4E"/>
    <w:rsid w:val="00F502AD"/>
    <w:rsid w:val="00F633ED"/>
    <w:rsid w:val="00F675F2"/>
    <w:rsid w:val="00F75DF4"/>
    <w:rsid w:val="00F83C52"/>
    <w:rsid w:val="00F952E9"/>
    <w:rsid w:val="00F95CCA"/>
    <w:rsid w:val="00FA0626"/>
    <w:rsid w:val="00FB1999"/>
    <w:rsid w:val="00FD7B5F"/>
    <w:rsid w:val="00FF797C"/>
    <w:rsid w:val="021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71213-178C-4DAA-948C-8A15ACF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3AAA-64A3-4E31-9D39-6128AC2A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Badamkhand Ms. Luvsantseren</dc:creator>
  <cp:lastModifiedBy>Munkh-Orgil MR. Molomjamts</cp:lastModifiedBy>
  <cp:revision>7</cp:revision>
  <cp:lastPrinted>2024-08-28T03:29:00Z</cp:lastPrinted>
  <dcterms:created xsi:type="dcterms:W3CDTF">2024-05-22T07:35:00Z</dcterms:created>
  <dcterms:modified xsi:type="dcterms:W3CDTF">2025-01-29T07:43:00Z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16385e27a8ad4c1fc233d665ce83ea2a17d3d3cc6aff27b315aabac85b554ddc</vt:lpwstr>
  </property>
  <property fmtid="{D5CDD505-2E9C-101B-9397-08002B2CF9AE}" pid="3" name="KSOProductBuildVer">
    <vt:lpwstr>1033-12.2.0.19805</vt:lpwstr>
  </property>
  <property fmtid="{D5CDD505-2E9C-101B-9397-08002B2CF9AE}" pid="4" name="ICV">
    <vt:lpwstr>11929675A02243E59831E090AA20B97B_12</vt:lpwstr>
  </property>
</Properties>
</file>